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247650</wp:posOffset>
            </wp:positionV>
            <wp:extent cx="1191260" cy="983615"/>
            <wp:effectExtent b="0" l="0" r="0" t="0"/>
            <wp:wrapSquare wrapText="bothSides" distB="0" distT="0" distL="114300" distR="114300"/>
            <wp:docPr descr="cid:image001.jpg@01D093C3.A4ED8640" id="8" name="image1.jpg"/>
            <a:graphic>
              <a:graphicData uri="http://schemas.openxmlformats.org/drawingml/2006/picture">
                <pic:pic>
                  <pic:nvPicPr>
                    <pic:cNvPr descr="cid:image001.jpg@01D093C3.A4ED8640" id="0" name="image1.jpg"/>
                    <pic:cNvPicPr preferRelativeResize="0"/>
                  </pic:nvPicPr>
                  <pic:blipFill>
                    <a:blip r:embed="rId7"/>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jc w:val="right"/>
        <w:rPr/>
      </w:pPr>
      <w:bookmarkStart w:colFirst="0" w:colLast="0" w:name="_heading=h.kxj7k26afm9q" w:id="0"/>
      <w:bookmarkEnd w:id="0"/>
      <w:r w:rsidDel="00000000" w:rsidR="00000000" w:rsidRPr="00000000">
        <w:rPr/>
        <w:drawing>
          <wp:inline distB="114300" distT="114300" distL="114300" distR="114300">
            <wp:extent cx="1885633" cy="1085850"/>
            <wp:effectExtent b="0" l="0" r="0" 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7" name=""/>
                <a:graphic>
                  <a:graphicData uri="http://schemas.microsoft.com/office/word/2010/wordprocessingShape">
                    <wps:wsp>
                      <wps:cNvSpPr/>
                      <wps:cNvPr id="3" name="Shape 3"/>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FOOD SAFETY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Best Practice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769057" cy="836295"/>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69057" cy="836295"/>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for:</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food safety practices at Delacombe PS Outside of School Hours Care that comply with legislative requirements and meet best practice standards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minimising the risk to children of scalds and burns from hot drinks.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should be read in conjunction with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Policy statement</w:t>
      </w:r>
    </w:p>
    <w:p w:rsidR="00000000" w:rsidDel="00000000" w:rsidP="00000000" w:rsidRDefault="00000000" w:rsidRPr="00000000" w14:paraId="0000000E">
      <w:pPr>
        <w:pStyle w:val="Heading2"/>
        <w:keepNext w:val="1"/>
        <w:numPr>
          <w:ilvl w:val="0"/>
          <w:numId w:val="1"/>
        </w:numPr>
        <w:tabs>
          <w:tab w:val="left" w:pos="284"/>
        </w:tabs>
        <w:spacing w:after="120" w:before="240" w:lineRule="auto"/>
        <w:ind w:left="720" w:hanging="360"/>
        <w:rPr/>
      </w:pPr>
      <w:r w:rsidDel="00000000" w:rsidR="00000000" w:rsidRPr="00000000">
        <w:rPr>
          <w:rtl w:val="0"/>
        </w:rPr>
        <w:t xml:space="preserve">Values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Delacombe PS Outside of School Hours Care is committed to:</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safety of all children and adults attending the service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all reasonable precautions to reduce potential hazards and harm to children attending the service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adequate health and hygiene procedures are implemented at the service, including safe practices for handling, preparing, storing and serving food</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safe practices in relation to the handling of hot drinks at the service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educating all service users in the prevention of scalds and burns that can result from handling hot drinks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relevant legislation and standards,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p>
    <w:p w:rsidR="00000000" w:rsidDel="00000000" w:rsidP="00000000" w:rsidRDefault="00000000" w:rsidRPr="00000000" w14:paraId="00000016">
      <w:pPr>
        <w:pStyle w:val="Heading2"/>
        <w:keepNext w:val="1"/>
        <w:numPr>
          <w:ilvl w:val="0"/>
          <w:numId w:val="1"/>
        </w:numPr>
        <w:tabs>
          <w:tab w:val="left" w:pos="284"/>
        </w:tabs>
        <w:spacing w:after="120" w:before="240" w:lineRule="auto"/>
        <w:ind w:left="720" w:hanging="360"/>
        <w:rPr/>
      </w:pPr>
      <w:r w:rsidDel="00000000" w:rsidR="00000000" w:rsidRPr="00000000">
        <w:rPr>
          <w:rtl w:val="0"/>
        </w:rPr>
        <w:t xml:space="preserve">Scope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all individuals involved in handling, preparing, storing and serving food for consumption at  Delacombe PS Outside of School Hours Care, and to the Approved Provider, Nominated Supervisor, Certified Supervisor, educators, staff, students on placement, volunteers, parents/guardians, children and others attending the programs and activities of the service.</w:t>
      </w:r>
    </w:p>
    <w:p w:rsidR="00000000" w:rsidDel="00000000" w:rsidP="00000000" w:rsidRDefault="00000000" w:rsidRPr="00000000" w14:paraId="00000018">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9">
      <w:pPr>
        <w:pStyle w:val="Heading4"/>
        <w:rPr/>
      </w:pPr>
      <w:r w:rsidDel="00000000" w:rsidR="00000000" w:rsidRPr="00000000">
        <w:rPr>
          <w:rtl w:val="0"/>
        </w:rPr>
        <w:t xml:space="preserve">Background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safety is very important in early childhood service environments. Young children are often more susceptible to the effects of foodborne illness than other members of the community. Foodborne illness (including gastrointestinal illness) can be caused by bacteria, parasites, viruses, chemicals or foreign objects that are present in food. Food provided by a children’s service: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be fit for human consumption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not be adulterated or contaminated</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not have deteriorated or perished.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 food practices can also assist in reducing the risk of a severe allergic reaction (e.g. anaphylaxis) by preventing cross-contamination of any food given to children with diagnosed food allergies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Organisations that provide food to children have a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protect children from all hazards and harm. Employers are also required,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provide a healthy and safe working environment for employees and contractors, and to ensure that other individuals, including children, parents/guardians, visitors and the general public, are not endangered when attending the workplace. In addition, employees, visitors and contractors are responsible for complying with appropriate workplace standards and procedures that have been implemented to protect their own health and safety, and that of others.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aims to reduce the incidence of foodborne illness by ensuring that food manufactured, transported, sold, prepared and stored is safe, unadulterated, fit for human consumption and will not cause food poisoning.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provider must ensure that staff members have the skills and knowledge needed to safely handle food in their work roles. Council may also, at its discretion, inspect a premises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(e.g. to investigate complaints or conduct a spot check). Individual councils may also require services to complete a food safety audit or plan, especially when the service is operating a special event such as a sausage sizzle. For more information about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4 food premises, services should contact their local council and refer to: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fldChar w:fldCharType="begin"/>
        <w:instrText xml:space="preserve"> HYPERLINK "http://www.health.vic.gov.au/foodsafety/downloads/class4.pdf" </w:instrText>
        <w:fldChar w:fldCharType="separate"/>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www.health.vic.gov.au/foodsafety/downloads/class4.pdf </w:t>
      </w:r>
    </w:p>
    <w:p w:rsidR="00000000" w:rsidDel="00000000" w:rsidP="00000000" w:rsidRDefault="00000000" w:rsidRPr="00000000" w14:paraId="00000023">
      <w:pPr>
        <w:pStyle w:val="Heading4"/>
        <w:spacing w:before="170" w:lineRule="auto"/>
        <w:rPr/>
      </w:pPr>
      <w:r w:rsidDel="00000000" w:rsidR="00000000" w:rsidRPr="00000000">
        <w:fldChar w:fldCharType="end"/>
      </w:r>
      <w:r w:rsidDel="00000000" w:rsidR="00000000" w:rsidRPr="00000000">
        <w:rPr>
          <w:rtl w:val="0"/>
        </w:rPr>
        <w:t xml:space="preserve">Legislation and standards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167</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 77</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2.1: Each child’s health is promoted</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2.1.1: Each child’s health needs are supported</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Act 2008</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633720" cy="675005"/>
                <wp:effectExtent b="0" l="0" r="0" t="0"/>
                <wp:wrapNone/>
                <wp:docPr id="6" name=""/>
                <a:graphic>
                  <a:graphicData uri="http://schemas.microsoft.com/office/word/2010/wordprocessingShape">
                    <wps:wsp>
                      <wps:cNvSpPr/>
                      <wps:cNvPr id="2" name="Shape 2"/>
                      <wps:spPr>
                        <a:xfrm>
                          <a:off x="2533903" y="3447260"/>
                          <a:ext cx="5624195" cy="665480"/>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6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w:t>
                            </w:r>
                            <w:r w:rsidDel="00000000" w:rsidR="00000000" w:rsidRPr="00000000">
                              <w:rPr>
                                <w:rFonts w:ascii="Arial" w:cs="Arial" w:eastAsia="Arial" w:hAnsi="Arial"/>
                                <w:b w:val="0"/>
                                <w:i w:val="0"/>
                                <w:smallCaps w:val="0"/>
                                <w:strike w:val="0"/>
                                <w:color w:val="000000"/>
                                <w:sz w:val="19"/>
                                <w:vertAlign w:val="baseline"/>
                              </w:rPr>
                              <w:t xml:space="preserve"> </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Corbel" w:cs="Corbel" w:eastAsia="Corbel" w:hAnsi="Corbe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Corbel" w:cs="Corbel" w:eastAsia="Corbel" w:hAnsi="Corbel"/>
                                <w:b w:val="0"/>
                                <w:i w:val="0"/>
                                <w:smallCaps w:val="0"/>
                                <w:strike w:val="0"/>
                                <w:color w:val="0000ff"/>
                                <w:sz w:val="19"/>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633720" cy="675005"/>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633720" cy="675005"/>
                        </a:xfrm>
                        <a:prstGeom prst="rect"/>
                        <a:ln/>
                      </pic:spPr>
                    </pic:pic>
                  </a:graphicData>
                </a:graphic>
              </wp:anchor>
            </w:drawing>
          </mc:Fallback>
        </mc:AlternateConten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Department of Health: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State Government department responsible for the health and wellbeing of Victorians, and with oversight of the administration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common law concept that refers to the responsibilities of organisations to provide people with an adequate level of protection against harm and all reasonable foreseeable risk of injury.</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Food allergies: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foods and food ingredients, or their components, can cause severe allergic reactions including anaphylaxis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Less common symptoms of food allergy include infantile colic, reflux of stomach contents, eczema, chronic diarrhoea and failure to thrive in infants. Food allergies are often caused by peanuts, tree nuts, milk, eggs, sesame seeds, fish and shellfish, soy and wheat. For more information on food allergies, visit: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www.allergyfacts.org.au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Food safety: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ensuring food provided by the service is fit for human consumption.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Food safety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written plan that details what an individual business does to ensure that the food it handles is safe for human consumption. A food safety program is an important tool for businesses that handle, process or sell potentially hazardous foods, as it helps to maintain safe food handling practices and protect public health. It should identify potential hazards in all aspects of food handling, describe how such hazards can be controlled/monitored, and define appropriate corrective action to be taken when a hazard is found to be under-managed. A food safety program must also include the requirements for appropriate record keeping. </w:t>
      </w:r>
    </w:p>
    <w:p w:rsidR="00000000" w:rsidDel="00000000" w:rsidP="00000000" w:rsidRDefault="00000000" w:rsidRPr="00000000" w14:paraId="0000003B">
      <w:pPr>
        <w:spacing w:after="0" w:lineRule="auto"/>
        <w:rPr>
          <w:sz w:val="20"/>
          <w:szCs w:val="20"/>
        </w:rPr>
      </w:pPr>
      <w:r w:rsidDel="00000000" w:rsidR="00000000" w:rsidRPr="00000000">
        <w:rPr>
          <w:b w:val="1"/>
          <w:sz w:val="20"/>
          <w:szCs w:val="20"/>
          <w:rtl w:val="0"/>
        </w:rPr>
        <w:t xml:space="preserve">Food safety supervisor:</w:t>
      </w:r>
      <w:r w:rsidDel="00000000" w:rsidR="00000000" w:rsidRPr="00000000">
        <w:rPr>
          <w:sz w:val="20"/>
          <w:szCs w:val="20"/>
          <w:rtl w:val="0"/>
        </w:rPr>
        <w:t xml:space="preserve"> A person who:</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recognise, prevent and alleviate food handling hazards at a premises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a Statement of Attainment from a Registered Training Organisation (RTO) that confirms competency in the required food safety standards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ability and authority to supervise other individuals who handle food at the premises to ensure safe food handling at all times.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4 food premises do not need a food safety supervisor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Background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However, they must ensure that staff members have the skills and knowledge needed to safely handle food in their work roles.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Food Standards Australia New Zealand (FSANZ):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bi-national Government agency with the responsibility to develop and administer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Code), which details standards and requirements in areas such as food additives, food safety, labelling and genetically modified (GM) foods. Enforcement and interpretation of the Code is the responsibility of State/Territory departments and food agencies within Australia and New Zealand.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Hazardous food: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containing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dangerous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biological, chemical or physical agents, or food in a condition that has the potential to cause adverse health effects in humans.</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High-risk foods: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Bacteria that has the potential to cause food-poisoning can grow and multiply on some foods more easily than others. High-risk foods include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meat, seafood, poultry, eggs, dairy products, small goods, cooked rice/pasta and prepared salads (such as coleslaw, pasta salads, rice salads and fruit salads). Food that is contained in packages, cans or jars can become high-risk once opened, and should be handled and stored appropriately.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Hot drink: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container holding a liquid that has been heated or boiled, and that remains above room temperature (25°C) for any period of time.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Scalds: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Burns by hot fluids, steam and other hot vapours.</w:t>
      </w:r>
      <w:r w:rsidDel="00000000" w:rsidR="00000000" w:rsidRPr="00000000">
        <w:rPr>
          <w:rtl w:val="0"/>
        </w:rPr>
      </w:r>
    </w:p>
    <w:p w:rsidR="00000000" w:rsidDel="00000000" w:rsidP="00000000" w:rsidRDefault="00000000" w:rsidRPr="00000000" w14:paraId="00000045">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46">
      <w:pPr>
        <w:pStyle w:val="Heading4"/>
        <w:rPr/>
      </w:pPr>
      <w:r w:rsidDel="00000000" w:rsidR="00000000" w:rsidRPr="00000000">
        <w:rPr>
          <w:rtl w:val="0"/>
        </w:rPr>
        <w:t xml:space="preserve">Sources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http://www.foodstandards.gov.au/code/Pages/default.aspx</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Burns and scalds – children. Available from the Better Health Channel: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www.betterhealth.vic.gov.au/bhcv2/bhcarticles.nsf/pages/Burns_and_scalds_children</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Health – Food Safety. Contact the Department of Health if your inquiry relates to general food compliance issues (and you don’t know where to start) or you are looking for publications on food safety or information on legislation.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1300 364 352 (free call within Australia)</w:t>
        <w:br w:type="textWrapping"/>
        <w:t xml:space="preserve">Email: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foodsafety@health.vic.gov.au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Website: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www.health.vic.gov.au/foodsafety</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food safe: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www.health.vic.gov.au/foodsafety/bus/keeping.htm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safety at home and in the community: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www.health.vic.gov.au/foodsafety/home/index.htm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dofoodsafely – a free online food safety program: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http://dofoodsafely.health.vic.gov.au/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Kids Health Info at The Royal Children's Hospital Melbourne provides kids health and safety resources for purchase. To purchase a resource, phone (03) 9345 6429 or visit: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www.rch.org.au/chas/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Kids Health Info is part of the Family Services Department of The Royal Children's Hospital Melbourne, which also includes the </w:t>
      </w:r>
      <w:hyperlink r:id="rId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hyperlink r:id="r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Resource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hyperlink r:id="rId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 Service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Royal Children’s Hospital Safety Centre, 50 Flemington Road, Parkville. Telephone advisory line: (03) 9345 5085 or email: </w:t>
      </w:r>
      <w:hyperlink r:id="rId23">
        <w:r w:rsidDel="00000000" w:rsidR="00000000" w:rsidRPr="00000000">
          <w:rPr>
            <w:rFonts w:ascii="Arial" w:cs="Arial" w:eastAsia="Arial" w:hAnsi="Arial"/>
            <w:b w:val="0"/>
            <w:i w:val="0"/>
            <w:smallCaps w:val="0"/>
            <w:strike w:val="0"/>
            <w:color w:val="141b4d"/>
            <w:sz w:val="20"/>
            <w:szCs w:val="20"/>
            <w:u w:val="single"/>
            <w:shd w:fill="auto" w:val="clear"/>
            <w:vertAlign w:val="baseline"/>
            <w:rtl w:val="0"/>
          </w:rPr>
          <w:t xml:space="preserve">safety.centre@rch.org.au</w:t>
        </w:r>
      </w:hyperlink>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Kidsafe: telephone (03) 9251 7725 or email: </w:t>
      </w:r>
      <w:hyperlink r:id="rId2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info@kidsafevic.com.au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 fact sheet on scalds and burns, visit their website: </w:t>
      </w:r>
      <w:hyperlink r:id="rId2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www.kidsafevic.com.au/images/stories/pdfs/Burns_Scalds.pdf</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and Medical Research Council (2013)</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Staying Healthy: Preventing infectious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diseases in early childhood education and care services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w:t>
      </w:r>
      <w:hyperlink r:id="rId2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http://www.nhmrc.gov.au/guidelines/publications/ch55</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Procedures</w:t>
      </w:r>
    </w:p>
    <w:p w:rsidR="00000000" w:rsidDel="00000000" w:rsidP="00000000" w:rsidRDefault="00000000" w:rsidRPr="00000000" w14:paraId="00000060">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staff and volunteers at the service implement adequate health and hygiene practices, and safe practices for handling, preparing and storing food, to minimise risks to children being educated and cared for by the service (Regulation 77(1))</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the local council in the service’s area of operation to determine the service’s food safety risk classification and requirements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requirements of the service’s food safety risk classification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outlined by local council, including implementing a food safety program and employing a food safety supervisor if required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Background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Health – Food Safety)</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parents/guardians with a copy of this policy, and with up-to-date information on the safe provision of food for their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Food safety at home and in the community)</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and all staff are provided with a copy of this policy and are kept up-to-date with current legislation, standards, policies, information and resources relating to food safety</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undergo training in safe food handling, as required</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staff compliance with food safety practices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volunteers to complete training in safe food handling techniques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dofoodsafely)</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good hygiene practices are maintained at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hygiene guidelines/posters and food safety guidelines/posters in the food areas of the service for the reference of staff and families involved in the preparation and distribution of food to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this policy is referred to when undertaking risk assessments for excursions and other service events</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measures are in place to prevent cross-contamination of any food given to children with diagnosed food allergies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potential hazards that may reasonably be expected to occur at each stage of the </w:t>
        <w:br w:type="textWrapping"/>
        <w:t xml:space="preserve">food-handling and preparation cycle, and developing procedures to minimise these hazards. Stages of the cycle include ordering, delivery, storage, thawing, preparation, cooking, cooling, handling post-cooking, reheating and serving</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facilities and equipment for food preparation and storage are clean, and in good repair and working order</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calibrated thermometer in good working order, suitable for monitoring the temperature of the fridge/freezer in food preparation areas. Glass thermometers containing mercury are not recommended in or near food preparation areas</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local council to determine requirements prior to selling food at a fête, food stall or other service event. Such requirements may include completing a Food Act notification form and/or a statement of trade form</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removing pests and vermin from the premises</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DET, DHS and parents/guardians if an outbreak of gastroenteritis or possible food poisoning occurs at the service</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families of the availability of cold storage facilities at the service to ensure parents/guardians make suitable food choices when supplying food for their own child, or for children to share</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staff, parents/guardians and others attending the service are aware of the acceptable and responsible practices for the consumption of hot drinks (refer to Attachment 1 – Responsible consumption of hot drinks at the service).</w:t>
      </w:r>
    </w:p>
    <w:p w:rsidR="00000000" w:rsidDel="00000000" w:rsidP="00000000" w:rsidRDefault="00000000" w:rsidRPr="00000000" w14:paraId="00000075">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and volunteers at the service implement adequate health and hygiene practices, and safe practices for handling, preparing and storing food, to minimise risks to children being educated and cared for by the service (Regulation 77(2))</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provide details of their child’s specific nutritional requirements (including allergies) on the enrolment form, and discussing these prior to the child commencing at the service and whenever these requirements change</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up-to-date with current legislation, standards, policy, information and resources relating to food safety</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staff undergo training in safe food handling and good hygiene practices, as required</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volunteers to complete training in safe food handling techniques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dofoodsafely)</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this policy is referred to when undertaking risk assessments for excursions and other service events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students, volunteers, and casual and relief staff at the service are informed of this policy.</w:t>
      </w:r>
    </w:p>
    <w:p w:rsidR="00000000" w:rsidDel="00000000" w:rsidP="00000000" w:rsidRDefault="00000000" w:rsidRPr="00000000" w14:paraId="0000007D">
      <w:pPr>
        <w:pStyle w:val="Heading4"/>
        <w:spacing w:before="170" w:lineRule="auto"/>
        <w:rPr/>
      </w:pPr>
      <w:r w:rsidDel="00000000" w:rsidR="00000000" w:rsidRPr="00000000">
        <w:rPr>
          <w:rtl w:val="0"/>
        </w:rPr>
        <w:t xml:space="preserve">Certified Supervisors, educators and other staff are responsible for:</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up-to-date with current legislation, standards, policy, information and resources relating to food safety</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safe food practices and good hygiene practices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undergoing training if required</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referring to this policy when undertaking risk assessments for excursions and other service events</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students, volunteers, and casual and relief staff at the service about this policy</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241f2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children’s lunchboxes are kept indoors, away from heat sources (including direct sunlight) and refrigerated if necessary</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241f2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food safety with children to increase awareness and assist in developing safe practices</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241f2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discouraging children from sharing drink bottles or cups at the service</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241f2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do not share lunches to minimise risks in relation to children with food allergies</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supervision of children while they are eating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bookmarkStart w:colFirst="0" w:colLast="0" w:name="_heading=h.gjdgxs"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discuss a child’s nutritional requirements, food allergies or food sensitivities, and informing the Nominated Supervisor where necessary</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seeking input from parents/guardians on cultural values or religious expectations regarding food handling, provision and consumption</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Nominated Supervisor or Approved Provider of any outbreaks of gastroenteritis or possible food poisoning at the service</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removing hazardous food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food that has fallen on the floor, and providing alternative food items</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documenting and implementing a food safety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required</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good personal and kitchen hygiene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covering all wounds/cuts on hands or arms with wound strips or bandages</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wearing disposable gloves when handling food</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guidelines in relation to the consumption of hot drinks at the service (refer to Attachment 1 – Responsible consumption of hot drinks at the service)</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and visitors to the service about the guidelines in relation to the consumption of hot drinks at the service (refer to Attachment 1 – Responsible consumption of hot drinks at the service).</w:t>
      </w:r>
    </w:p>
    <w:p w:rsidR="00000000" w:rsidDel="00000000" w:rsidP="00000000" w:rsidRDefault="00000000" w:rsidRPr="00000000" w14:paraId="00000091">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washing hands prior to participating in food preparation and cooking activities</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food preparation surfaces, utensils, lunchboxes and reusable drink bottles are clean</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washing all fruits and vegetables thoroughly</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wearing disposable gloves when handling food</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packing a cold item, such as a frozen water bottle, with perishable foods in a child’s lunchbox, or using an insulated lunchbox or cooler</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requirements of this policy</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details of specific nutritional requirements (including allergies) on their child’s enrolment form, and discussing these with the Nominated Supervisor prior to the child commencing at the service and whenever these requirements change.</w:t>
      </w:r>
    </w:p>
    <w:p w:rsidR="00000000" w:rsidDel="00000000" w:rsidP="00000000" w:rsidRDefault="00000000" w:rsidRPr="00000000" w14:paraId="00000099">
      <w:pPr>
        <w:pStyle w:val="Heading4"/>
        <w:keepNext w:val="0"/>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9A">
      <w:pPr>
        <w:pStyle w:val="Heading1"/>
        <w:rPr/>
      </w:pPr>
      <w:r w:rsidDel="00000000" w:rsidR="00000000" w:rsidRPr="00000000">
        <w:rPr>
          <w:rtl w:val="0"/>
        </w:rPr>
        <w:t xml:space="preserve">Evaluation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and investigate any issues related to food safety, such as reports of gastroenteritis or food poisoning</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A2">
      <w:pPr>
        <w:pStyle w:val="Heading1"/>
        <w:rPr/>
      </w:pPr>
      <w:r w:rsidDel="00000000" w:rsidR="00000000" w:rsidRPr="00000000">
        <w:rPr>
          <w:rtl w:val="0"/>
        </w:rPr>
        <w:t xml:space="preserve">Attachments</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Responsible consumption of hot drinks at the service</w:t>
      </w:r>
    </w:p>
    <w:p w:rsidR="00000000" w:rsidDel="00000000" w:rsidP="00000000" w:rsidRDefault="00000000" w:rsidRPr="00000000" w14:paraId="000000A4">
      <w:pPr>
        <w:pStyle w:val="Heading1"/>
        <w:rPr/>
      </w:pPr>
      <w:r w:rsidDel="00000000" w:rsidR="00000000" w:rsidRPr="00000000">
        <w:rPr>
          <w:rtl w:val="0"/>
        </w:rPr>
        <w:t xml:space="preserve">Authorisation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Delacombe PS Outside of School Hours Care on 20-5-2019</w:t>
      </w:r>
    </w:p>
    <w:p w:rsidR="00000000" w:rsidDel="00000000" w:rsidP="00000000" w:rsidRDefault="00000000" w:rsidRPr="00000000" w14:paraId="000000A6">
      <w:pPr>
        <w:pStyle w:val="Heading1"/>
        <w:rPr/>
      </w:pPr>
      <w:r w:rsidDel="00000000" w:rsidR="00000000" w:rsidRPr="00000000">
        <w:rPr>
          <w:rtl w:val="0"/>
        </w:rPr>
        <w:t xml:space="preserve">Review date:  May 2022</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Responsible consumption of hot drinks at the service</w:t>
      </w:r>
    </w:p>
    <w:p w:rsidR="00000000" w:rsidDel="00000000" w:rsidP="00000000" w:rsidRDefault="00000000" w:rsidRPr="00000000" w14:paraId="000000A9">
      <w:pPr>
        <w:pStyle w:val="Heading4"/>
        <w:spacing w:after="170" w:lineRule="auto"/>
        <w:rPr/>
      </w:pPr>
      <w:r w:rsidDel="00000000" w:rsidR="00000000" w:rsidRPr="00000000">
        <w:rPr>
          <w:rtl w:val="0"/>
        </w:rPr>
        <w:t xml:space="preserve">Services should adapt this attachment and its procedures to suit their specific circumstances.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Scalds and burns from hot liquids are a common cause of hospital admission in 0 to 4 year olds. A child’s skin is thinner and more sensitive than an adult’s and will therefore experience a more severe burn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Kidsafe fact sheet). Children’s natural curiosity, impulsiveness, mode of reaction and lack of experience in assessing danger are contributing factors to the vulnerability of children at this age.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 scenarios that can lead to a child being scalded include when a child pulls a cup of tea, coffee or hot water from a table or bench, or when a child runs into a person holding a hot drink resulting in the hot drink spilling over the child’s body.</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consumption of lukewarm drinks or the use of lidded cups/mugs in areas accessed by children should be considered with caution, as this is not necessarily a safe practice and might give the impression that it is acceptable to consume hot drinks around children.</w:t>
      </w:r>
    </w:p>
    <w:p w:rsidR="00000000" w:rsidDel="00000000" w:rsidP="00000000" w:rsidRDefault="00000000" w:rsidRPr="00000000" w14:paraId="000000AD">
      <w:pPr>
        <w:pStyle w:val="Heading3"/>
        <w:rPr/>
      </w:pPr>
      <w:r w:rsidDel="00000000" w:rsidR="00000000" w:rsidRPr="00000000">
        <w:rPr>
          <w:rtl w:val="0"/>
        </w:rPr>
        <w:t xml:space="preserve">General guidelines</w:t>
      </w:r>
    </w:p>
    <w:p w:rsidR="00000000" w:rsidDel="00000000" w:rsidP="00000000" w:rsidRDefault="00000000" w:rsidRPr="00000000" w14:paraId="000000AE">
      <w:pPr>
        <w:pStyle w:val="Heading4"/>
        <w:rPr/>
      </w:pPr>
      <w:r w:rsidDel="00000000" w:rsidR="00000000" w:rsidRPr="00000000">
        <w:rPr>
          <w:rtl w:val="0"/>
        </w:rPr>
        <w:t xml:space="preserve">The Approved Provider, Nominated Supervisor and all staff are responsible for:</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hot drinks are only prepared and consumed in areas inaccessible to children, such as the kitchen, staffroom and office</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hot drinks are not consumed in, or taken into or through, children’s rooms, outdoor areas or any other area where children are in attendance or participating in the program</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on duty, visitors to the service, students, volunteers and any other person participating in the program of the service’s hot drink procedures and the reasons for such procedures</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enrolled and participating in the program do not have access to areas of the building that are likely to be hazardous, including the kitchen, staffroom and office</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attending the service actively supervise children in their care who are not enrolled in the program, including siblings</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at least one educator with current approved first aid qualifications is in attendance and immediately available at all times that children are being educated and cared for by the service</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educating service users about the prevention of burns and scalds by providing relevant information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Burns and scalds – children and Kidsafe fact sheet), including appropriate first aid for scalds</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safety procedures in relation to hot drinks at service events occurring outside operational hours, including: </w:t>
      </w:r>
    </w:p>
    <w:p w:rsidR="00000000" w:rsidDel="00000000" w:rsidP="00000000" w:rsidRDefault="00000000" w:rsidRPr="00000000" w14:paraId="000000B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offering alternative drinks for adults e.g. juice, water or iced coffee</w:t>
      </w:r>
    </w:p>
    <w:p w:rsidR="00000000" w:rsidDel="00000000" w:rsidP="00000000" w:rsidRDefault="00000000" w:rsidRPr="00000000" w14:paraId="000000B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safely locating urns, kettles and power cords out of reach of children</w:t>
      </w:r>
    </w:p>
    <w:p w:rsidR="00000000" w:rsidDel="00000000" w:rsidP="00000000" w:rsidRDefault="00000000" w:rsidRPr="00000000" w14:paraId="000000B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and consuming hot drinks in an area inaccessible to children</w:t>
      </w:r>
    </w:p>
    <w:p w:rsidR="00000000" w:rsidDel="00000000" w:rsidP="00000000" w:rsidRDefault="00000000" w:rsidRPr="00000000" w14:paraId="000000B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person with current approved first aid qualifications is in attendance for social events held outside operational hours.</w:t>
      </w:r>
    </w:p>
    <w:p w:rsidR="00000000" w:rsidDel="00000000" w:rsidP="00000000" w:rsidRDefault="00000000" w:rsidRPr="00000000" w14:paraId="000000BB">
      <w:pPr>
        <w:pStyle w:val="Heading1"/>
        <w:rPr/>
      </w:pPr>
      <w:r w:rsidDel="00000000" w:rsidR="00000000" w:rsidRPr="00000000">
        <w:rPr>
          <w:rtl w:val="0"/>
        </w:rPr>
      </w:r>
    </w:p>
    <w:sectPr>
      <w:footerReference r:id="rId27"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653" w:hanging="227.00000000000006"/>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3"/>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lang w:eastAsia="en-AU"/>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9C61D0"/>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unhideWhenUsed w:val="1"/>
    <w:rsid w:val="00943200"/>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943200"/>
    <w:rPr>
      <w:rFonts w:eastAsia="Times New Roman"/>
      <w:snapToGrid w:val="0"/>
      <w:lang w:eastAsia="en-US"/>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01F84"/>
    <w:pPr>
      <w:numPr>
        <w:numId w:val="11"/>
      </w:numPr>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15"/>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CommentText">
    <w:name w:val="annotation text"/>
    <w:basedOn w:val="Normal"/>
    <w:link w:val="CommentTextChar"/>
    <w:uiPriority w:val="99"/>
    <w:semiHidden w:val="1"/>
    <w:unhideWhenUsed w:val="1"/>
    <w:rsid w:val="006D2528"/>
    <w:pPr>
      <w:spacing w:after="0"/>
    </w:pPr>
    <w:rPr>
      <w:rFonts w:eastAsia="Times New Roman"/>
      <w:snapToGrid w:val="0"/>
      <w:sz w:val="20"/>
      <w:szCs w:val="20"/>
      <w:lang w:val="x-none"/>
    </w:rPr>
  </w:style>
  <w:style w:type="character" w:styleId="CommentTextChar" w:customStyle="1">
    <w:name w:val="Comment Text Char"/>
    <w:link w:val="CommentText"/>
    <w:uiPriority w:val="99"/>
    <w:semiHidden w:val="1"/>
    <w:rsid w:val="006D2528"/>
    <w:rPr>
      <w:rFonts w:eastAsia="Times New Roman"/>
      <w:snapToGrid w:val="0"/>
      <w:lang w:eastAsia="en-US" w:val="x-none"/>
    </w:rPr>
  </w:style>
  <w:style w:type="paragraph" w:styleId="TableBullets2" w:customStyle="1">
    <w:name w:val="Table Bullets 2"/>
    <w:basedOn w:val="Tablebullets"/>
    <w:qFormat w:val="1"/>
    <w:rsid w:val="00A01F84"/>
    <w:pPr>
      <w:numPr>
        <w:numId w:val="18"/>
      </w:numPr>
    </w:pPr>
  </w:style>
  <w:style w:type="character" w:styleId="FollowedHyperlink">
    <w:name w:val="FollowedHyperlink"/>
    <w:uiPriority w:val="99"/>
    <w:semiHidden w:val="1"/>
    <w:unhideWhenUsed w:val="1"/>
    <w:rsid w:val="00E364B5"/>
    <w:rPr>
      <w:color w:val="800080"/>
      <w:u w:val="single"/>
    </w:rPr>
  </w:style>
  <w:style w:type="character" w:styleId="CommentReference">
    <w:name w:val="annotation reference"/>
    <w:uiPriority w:val="99"/>
    <w:semiHidden w:val="1"/>
    <w:unhideWhenUsed w:val="1"/>
    <w:rsid w:val="001503FE"/>
    <w:rPr>
      <w:sz w:val="16"/>
      <w:szCs w:val="16"/>
    </w:rPr>
  </w:style>
  <w:style w:type="paragraph" w:styleId="CommentSubject">
    <w:name w:val="annotation subject"/>
    <w:basedOn w:val="CommentText"/>
    <w:next w:val="CommentText"/>
    <w:link w:val="CommentSubjectChar"/>
    <w:uiPriority w:val="99"/>
    <w:semiHidden w:val="1"/>
    <w:unhideWhenUsed w:val="1"/>
    <w:rsid w:val="001503FE"/>
    <w:pPr>
      <w:spacing w:after="170"/>
    </w:pPr>
    <w:rPr>
      <w:rFonts w:eastAsia="Arial"/>
      <w:b w:val="1"/>
      <w:bCs w:val="1"/>
      <w:snapToGrid w:val="1"/>
      <w:lang w:val="en-AU"/>
    </w:rPr>
  </w:style>
  <w:style w:type="character" w:styleId="CommentSubjectChar" w:customStyle="1">
    <w:name w:val="Comment Subject Char"/>
    <w:link w:val="CommentSubject"/>
    <w:uiPriority w:val="99"/>
    <w:semiHidden w:val="1"/>
    <w:rsid w:val="001503FE"/>
    <w:rPr>
      <w:rFonts w:eastAsia="Times New Roman"/>
      <w:b w:val="1"/>
      <w:bCs w:val="1"/>
      <w:snapToGrid w:val="1"/>
      <w:lang w:eastAsia="en-US" w:val="x-none"/>
    </w:rPr>
  </w:style>
  <w:style w:type="paragraph" w:styleId="ListParagraph">
    <w:name w:val="List Paragraph"/>
    <w:basedOn w:val="Normal"/>
    <w:uiPriority w:val="34"/>
    <w:qFormat w:val="1"/>
    <w:rsid w:val="00B834B4"/>
    <w:pPr>
      <w:spacing w:after="200" w:line="276" w:lineRule="auto"/>
      <w:ind w:left="720"/>
      <w:contextualSpacing w:val="1"/>
    </w:pPr>
    <w:rPr>
      <w:rFonts w:ascii="Corbel" w:eastAsia="Calibri" w:hAnsi="Corbel"/>
      <w:sz w:val="22"/>
      <w:szCs w:val="22"/>
    </w:rPr>
  </w:style>
  <w:style w:type="paragraph" w:styleId="AlphaList" w:customStyle="1">
    <w:name w:val="Alpha List"/>
    <w:qFormat w:val="1"/>
    <w:rsid w:val="00863F8A"/>
    <w:pPr>
      <w:numPr>
        <w:numId w:val="32"/>
      </w:numPr>
      <w:spacing w:after="60" w:line="260" w:lineRule="atLeast"/>
    </w:pPr>
    <w:rPr>
      <w:rFonts w:eastAsia="Calibri"/>
      <w:szCs w:val="19"/>
    </w:rPr>
  </w:style>
  <w:style w:type="paragraph" w:styleId="AlphaList2" w:customStyle="1">
    <w:name w:val="Alpha List 2"/>
    <w:qFormat w:val="1"/>
    <w:rsid w:val="00863F8A"/>
    <w:pPr>
      <w:numPr>
        <w:ilvl w:val="1"/>
        <w:numId w:val="32"/>
      </w:numPr>
      <w:spacing w:after="60" w:line="260" w:lineRule="atLeast"/>
    </w:pPr>
    <w:rPr>
      <w:rFonts w:eastAsia="Calibri"/>
      <w:szCs w:val="19"/>
    </w:rPr>
  </w:style>
  <w:style w:type="paragraph" w:styleId="GreyBoxtext" w:customStyle="1">
    <w:name w:val="Grey Box text"/>
    <w:qFormat w:val="1"/>
    <w:rsid w:val="00863F8A"/>
    <w:pPr>
      <w:spacing w:line="260" w:lineRule="atLeast"/>
    </w:pPr>
    <w:rPr>
      <w:rFonts w:eastAsia="Calibri"/>
      <w:sz w:val="19"/>
      <w:szCs w:val="19"/>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rch.org.au/safetycentre/" TargetMode="External"/><Relationship Id="rId22" Type="http://schemas.openxmlformats.org/officeDocument/2006/relationships/hyperlink" Target="http://www.rch.org.au/volunteers/" TargetMode="External"/><Relationship Id="rId21" Type="http://schemas.openxmlformats.org/officeDocument/2006/relationships/hyperlink" Target="http://www.rch.org.au/frc/" TargetMode="External"/><Relationship Id="rId24" Type="http://schemas.openxmlformats.org/officeDocument/2006/relationships/hyperlink" Target="mailto:info@kidsafevic.com.au" TargetMode="External"/><Relationship Id="rId23" Type="http://schemas.openxmlformats.org/officeDocument/2006/relationships/hyperlink" Target="mailto:safety.centre@rch.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www.nhmrc.gov.au/guidelines/publications/ch55" TargetMode="External"/><Relationship Id="rId25" Type="http://schemas.openxmlformats.org/officeDocument/2006/relationships/hyperlink" Target="http://www.kidsafevic.com.au/images/stories/pdfs/Burns_Scalds.pdf"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 Id="rId11" Type="http://schemas.openxmlformats.org/officeDocument/2006/relationships/hyperlink" Target="http://www.allergyfacts.org.au" TargetMode="External"/><Relationship Id="rId10" Type="http://schemas.openxmlformats.org/officeDocument/2006/relationships/image" Target="media/image3.png"/><Relationship Id="rId13" Type="http://schemas.openxmlformats.org/officeDocument/2006/relationships/hyperlink" Target="http://www.betterhealth.vic.gov.au/bhcv2/bhcarticles.nsf/pages/Burns_and_scalds_children" TargetMode="External"/><Relationship Id="rId12" Type="http://schemas.openxmlformats.org/officeDocument/2006/relationships/hyperlink" Target="http://www.foodstandards.gov.au/code/Pages/default.aspx" TargetMode="External"/><Relationship Id="rId15" Type="http://schemas.openxmlformats.org/officeDocument/2006/relationships/hyperlink" Target="http://www.health.vic.gov.au/foodsafety" TargetMode="External"/><Relationship Id="rId14" Type="http://schemas.openxmlformats.org/officeDocument/2006/relationships/hyperlink" Target="mailto:foodsafety@health.vic.gov.au" TargetMode="External"/><Relationship Id="rId17" Type="http://schemas.openxmlformats.org/officeDocument/2006/relationships/hyperlink" Target="http://www.health.vic.gov.au/foodsafety/home/index.htm" TargetMode="External"/><Relationship Id="rId16" Type="http://schemas.openxmlformats.org/officeDocument/2006/relationships/hyperlink" Target="http://www.health.vic.gov.au/foodsafety/bus/keeping.htm" TargetMode="External"/><Relationship Id="rId19" Type="http://schemas.openxmlformats.org/officeDocument/2006/relationships/hyperlink" Target="http://www.rch.org.au/chas/" TargetMode="External"/><Relationship Id="rId18" Type="http://schemas.openxmlformats.org/officeDocument/2006/relationships/hyperlink" Target="http://dofoodsafely.health.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7UWJVYlJw8KdN5X/utRLRYi9Q==">AMUW2mXGRS/FNF6FQZf5j4If9M7Syv0KlT6WocgWIpnh0821vThSQhjUgDIUK6VjnN8jEo8NFE16zbHvjwY9QtkQ7K3eYeKt99uCNAuaYIAURKWCvW7/2BUkrxoTjoPH6OrSQkhNowX26y0CBhoBVaMuWstrnv4tvQ==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2018-07-20T02:54:00Z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