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7" name="image1.jpg"/>
            <a:graphic>
              <a:graphicData uri="http://schemas.openxmlformats.org/drawingml/2006/picture">
                <pic:pic>
                  <pic:nvPicPr>
                    <pic:cNvPr descr="cid:image001.jpg@01D093C3.A4ED8640" id="0" name="image1.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ohyua1xwzn3" w:id="0"/>
      <w:bookmarkEnd w:id="0"/>
      <w:r w:rsidDel="00000000" w:rsidR="00000000" w:rsidRPr="00000000">
        <w:rPr/>
        <w:drawing>
          <wp:inline distB="114300" distT="114300" distL="114300" distR="114300">
            <wp:extent cx="1885633" cy="108585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152400</wp:posOffset>
                </wp:positionV>
                <wp:extent cx="5864225" cy="1219200"/>
                <wp:effectExtent b="0" l="0" r="0" t="0"/>
                <wp:wrapNone/>
                <wp:docPr id="5" name=""/>
                <a:graphic>
                  <a:graphicData uri="http://schemas.microsoft.com/office/word/2010/wordprocessingShape">
                    <wps:wsp>
                      <wps:cNvSpPr/>
                      <wps:cNvPr id="3" name="Shape 3"/>
                      <wps:spPr>
                        <a:xfrm>
                          <a:off x="2418650" y="3175163"/>
                          <a:ext cx="5854700" cy="1209675"/>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44"/>
                                <w:vertAlign w:val="baseline"/>
                              </w:rPr>
                              <w:t xml:space="preserve">Information and Communication Technology (ICT) Policy</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1"/>
                                <w:strike w:val="0"/>
                                <w:color w:val="000000"/>
                                <w:sz w:val="28"/>
                                <w:vertAlign w:val="baseline"/>
                              </w:rPr>
                              <w:t xml:space="preserve"> </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000000"/>
                                <w:sz w:val="28"/>
                                <w:vertAlign w:val="baseline"/>
                              </w:rPr>
                            </w:r>
                            <w:r w:rsidDel="00000000" w:rsidR="00000000" w:rsidRPr="00000000">
                              <w:rPr>
                                <w:rFonts w:ascii="Arial" w:cs="Arial" w:eastAsia="Arial" w:hAnsi="Arial"/>
                                <w:b w:val="1"/>
                                <w:i w:val="0"/>
                                <w:smallCaps w:val="0"/>
                                <w:strike w:val="0"/>
                                <w:color w:val="000000"/>
                                <w:sz w:val="19"/>
                                <w:vertAlign w:val="baseline"/>
                              </w:rPr>
                              <w:t xml:space="preserve">  Best Practice – Quality Area 7</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152400</wp:posOffset>
                </wp:positionV>
                <wp:extent cx="5864225" cy="1219200"/>
                <wp:effectExtent b="0" l="0" r="0" t="0"/>
                <wp:wrapNone/>
                <wp:docPr id="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64225" cy="1219200"/>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PURPOSE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ensure that all users of information and communication technology (ICT) at  Delacombe Primary School Outside of School Hours Care or on behalf of Delacombe Primary School Outside of School Hours Care: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and follow procedures to ensure the safe and appropriate use of ICT at the service, including maintaining secure storage of information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responsibility to protect and maintain privacy in accordance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aware that only those persons authorised by the Approved Provider are permitted to access ICT at the service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what constitutes illegal and inappropriate use of ICT facilities and avoid such activities.</w:t>
      </w:r>
    </w:p>
    <w:p w:rsidR="00000000" w:rsidDel="00000000" w:rsidP="00000000" w:rsidRDefault="00000000" w:rsidRPr="00000000" w14:paraId="0000000F">
      <w:pPr>
        <w:pStyle w:val="Heading1"/>
        <w:rPr/>
      </w:pPr>
      <w:r w:rsidDel="00000000" w:rsidR="00000000" w:rsidRPr="00000000">
        <w:rPr>
          <w:rtl w:val="0"/>
        </w:rPr>
        <w:t xml:space="preserve">Policy statement</w:t>
      </w:r>
    </w:p>
    <w:p w:rsidR="00000000" w:rsidDel="00000000" w:rsidP="00000000" w:rsidRDefault="00000000" w:rsidRPr="00000000" w14:paraId="00000010">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committed to:</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ethical and responsible use of ICT at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workplace for management, educators, staff and others using the service’s ICT facilities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the privacy and confidentiality of information received, transmitted or stored electronically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use of the service’s ICT facilities complies with all service policies and relevant government legislation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management, educators and staff with online information, resources and communication tools to support the effective operation of the service.</w:t>
      </w:r>
    </w:p>
    <w:p w:rsidR="00000000" w:rsidDel="00000000" w:rsidP="00000000" w:rsidRDefault="00000000" w:rsidRPr="00000000" w14:paraId="00000017">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 educators, staff, students on placement and volunteers at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 Outside of School Hours Care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This policy does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not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apply to children. Where services are using ICT within their educational programs, they should develop a separate policy concerning the use of ICT by children.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all aspects of the use of ICT including:</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internet usage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mail (email)</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bulletins/notice boards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discussion/news groups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weblogs (blogs)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networking</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transfer</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storage (including the use of end point data storage devices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sharing</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video conferencing</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streaming media</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instant messaging</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discussion groups and chat facilities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subscriptions to list servers, mailing lists or other like services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copying, saving or distributing files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viewing material electronically</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material</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portable communication devices including mobile and cordless phones.</w:t>
      </w:r>
    </w:p>
    <w:p w:rsidR="00000000" w:rsidDel="00000000" w:rsidP="00000000" w:rsidRDefault="00000000" w:rsidRPr="00000000" w14:paraId="0000002C">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2D">
      <w:pPr>
        <w:pStyle w:val="Heading4"/>
        <w:rPr/>
      </w:pPr>
      <w:r w:rsidDel="00000000" w:rsidR="00000000" w:rsidRPr="00000000">
        <w:rPr>
          <w:rtl w:val="0"/>
        </w:rPr>
        <w:t xml:space="preserve">Background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ICT environment is continually changing. Child care services now have access to a wide variety of technologies via fixed, wireless and mobile devices. While ICT is a cost-effective, timely and efficient tool for research, communication and management of a service, there are also legal responsibilities in relation to information privacy, security and the protection of employees, families and children.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and federal laws, including those governing information privacy, copyright, occupational health and safety, anti-discrimination and sexual harassment, apply to the use of ICT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rsidR="00000000" w:rsidDel="00000000" w:rsidP="00000000" w:rsidRDefault="00000000" w:rsidRPr="00000000" w14:paraId="00000030">
      <w:pPr>
        <w:pStyle w:val="Heading4"/>
        <w:rPr/>
      </w:pPr>
      <w:r w:rsidDel="00000000" w:rsidR="00000000" w:rsidRPr="00000000">
        <w:rPr>
          <w:rtl w:val="0"/>
        </w:rPr>
        <w:t xml:space="preserve">Legislation and standards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Broadcasting Services Act 1992 (Cth)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Classification (Publications, Films and Computer Games) Act 1995</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Commonwealth Classification (Publication, Films and Computer Games) Act 1995</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Competition and Consumer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Copyright Act 1968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Copyright Amendment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Freedom of Information Act 1982</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7.3: Administrative systems enable the effective management of a quality service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Records Act 1973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 Discrimination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Spam Act 2003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Trade Marks Act 1995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676900" cy="621030"/>
                <wp:effectExtent b="0" l="0" r="0" t="0"/>
                <wp:wrapNone/>
                <wp:docPr id="4" name=""/>
                <a:graphic>
                  <a:graphicData uri="http://schemas.microsoft.com/office/word/2010/wordprocessingShape">
                    <wps:wsp>
                      <wps:cNvSpPr/>
                      <wps:cNvPr id="2" name="Shape 2"/>
                      <wps:spPr>
                        <a:xfrm>
                          <a:off x="2512313" y="3474248"/>
                          <a:ext cx="5667375" cy="611505"/>
                        </a:xfrm>
                        <a:prstGeom prst="rect">
                          <a:avLst/>
                        </a:prstGeom>
                        <a:solidFill>
                          <a:srgbClr val="DDDDDD"/>
                        </a:solidFill>
                        <a:ln>
                          <a:noFill/>
                        </a:ln>
                      </wps:spPr>
                      <wps:txbx>
                        <w:txbxContent>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676900" cy="621030"/>
                <wp:effectExtent b="0" l="0" r="0" t="0"/>
                <wp:wrapNone/>
                <wp:docPr id="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76900" cy="621030"/>
                        </a:xfrm>
                        <a:prstGeom prst="rect"/>
                        <a:ln/>
                      </pic:spPr>
                    </pic:pic>
                  </a:graphicData>
                </a:graphic>
              </wp:anchor>
            </w:drawing>
          </mc:Fallback>
        </mc:AlternateConten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r>
    </w:p>
    <w:p w:rsidR="00000000" w:rsidDel="00000000" w:rsidP="00000000" w:rsidRDefault="00000000" w:rsidRPr="00000000" w14:paraId="0000004A">
      <w:pPr>
        <w:shd w:fill="ffffff" w:val="clear"/>
        <w:spacing w:after="0" w:lineRule="auto"/>
        <w:rPr/>
      </w:pPr>
      <w:r w:rsidDel="00000000" w:rsidR="00000000" w:rsidRPr="00000000">
        <w:rPr>
          <w:rtl w:val="0"/>
        </w:rPr>
      </w:r>
    </w:p>
    <w:p w:rsidR="00000000" w:rsidDel="00000000" w:rsidP="00000000" w:rsidRDefault="00000000" w:rsidRPr="00000000" w14:paraId="0000004B">
      <w:pPr>
        <w:shd w:fill="ffffff" w:val="clear"/>
        <w:spacing w:after="0" w:lineRule="auto"/>
        <w:rPr/>
      </w:pPr>
      <w:r w:rsidDel="00000000" w:rsidR="00000000" w:rsidRPr="00000000">
        <w:rPr>
          <w:rtl w:val="0"/>
        </w:rPr>
      </w:r>
    </w:p>
    <w:p w:rsidR="00000000" w:rsidDel="00000000" w:rsidP="00000000" w:rsidRDefault="00000000" w:rsidRPr="00000000" w14:paraId="0000004C">
      <w:pPr>
        <w:pStyle w:val="Heading2"/>
        <w:numPr>
          <w:ilvl w:val="0"/>
          <w:numId w:val="1"/>
        </w:numPr>
        <w:spacing w:after="0" w:before="0" w:lineRule="auto"/>
        <w:ind w:left="720" w:hanging="360"/>
        <w:rPr/>
      </w:pPr>
      <w:r w:rsidDel="00000000" w:rsidR="00000000" w:rsidRPr="00000000">
        <w:rPr>
          <w:rtl w:val="0"/>
        </w:rPr>
        <w:t xml:space="preserve">Definitions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Anti-spyware: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Software designed to remove spyware: a type of malware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collects information about users without their knowledge.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Chain 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email instructing recipients to send out multiple copies of the same email so that circulation increases exponentially.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Computer virus: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Malicious software programs, a form of malware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can spread from one computer to another through the sharing of infected files, and that may harm a computer system's data or performance.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Defamation: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injure or harm another person’s reputation without good reason or justification. Defamation is often in the form of slander or libel.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Statement(s) that seeks to exclude or limit liability and is usually related to issues such as copyright, accuracy and privacy.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Electronic communications: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Email, instant messaging, communication through social media and any other material or communication sent electronically.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Encryption: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of systematically encoding data before transmission so that an unauthorised party cannot decipher it. There are different levels of encryption available.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Endpoint data storage devices: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Devices capable of storing information/data. New devices are continually being developed, and current devices include:</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laptops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USB sticks, external or removable hard drives, thumb drives, pen drives and flash drives</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iPods or other similar devices</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cameras with USB drive connection</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iPhones/smartphones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PCI/PC Card/PCMCIA storage cards</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PDAs (Personal Digital Assistants)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data-storage devices (CD-ROM and DVD).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Firewall: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primary method of keeping a computer/network secure. A firewall controls (by permitting or restricting) traffic into and out of a computer/network and, as a result, can protect these from damage by unauthorised users.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Flash drive: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small data-storage device that uses flash memory, and has a built-in USB connection. Flash drives have many names, including jump drives, thumb drives, pen drives and USB keychain drives.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Integrity: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refers to the accuracy of data. Loss of data integrity may be either gross and evident (e.g. a computer disk failing) or subtle (e.g. the alteration of information in an electronic file).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Malware: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 for ‘malicious software’. Malware is intended to damage or disable computers or computer systems.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PDAs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Digital Assistants):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handheld computer for managing contacts, appointments and tasks. PDAs typically include a name and address database, calendar, to-do list and note taker. Wireless PDAs may also offer email and web browsing, and data can be synchronised between a PDA and a desktop computer via a USB or wireless connection.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Portable storage device (PSD)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removable storage device (RSD):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Small, lightweight, portable easy-to-use device that is capable of storing and transferring large volumes of data. These devices are either exclusively used for data storage (for example, USB keys) or are capable of multiple other functions (such as iPods and PDAs).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Unsolicited and unwanted emails or other electronic communication.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 refers to the protection of data against unauthorised access, ensuring confidentiality of information, integrity of data and the appropriate use of computer systems and other resources.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USB interface: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Universal Serial Bus (USB) is a widely used interface for attaching devices to a host computer. PCs and laptops have multiple USB ports that enable many devices to be connected without rebooting the computer or turning off the USB device.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USB key: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Also known as sticks, drives, memory keys and flash drives, a USB key is a device that plugs into the computer’s USB port and is small enough to hook onto a key ring. A USB key allows data to be easily downloaded and transported/transferred.</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Vicnet: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 For more information, visit: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www.kindergarten.vic.gov.au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Virus: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program or programming code that multiplies by being copied to another program, computer or document. Viruses can be sent in attachments to an email or file, or be present on a disk or CD. While some viruses are benign or playful in intent, others can be quite harmful: erasing data or requiring the reformatting of hard drives.</w:t>
      </w:r>
    </w:p>
    <w:p w:rsidR="00000000" w:rsidDel="00000000" w:rsidP="00000000" w:rsidRDefault="00000000" w:rsidRPr="00000000" w14:paraId="0000006A">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6B">
      <w:pPr>
        <w:pStyle w:val="Heading4"/>
        <w:rPr/>
      </w:pPr>
      <w:r w:rsidDel="00000000" w:rsidR="00000000" w:rsidRPr="00000000">
        <w:rPr>
          <w:rtl w:val="0"/>
        </w:rPr>
        <w:t xml:space="preserve">Sources</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Acceptance Use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 Information, Communications and Technology (ICT) Resources:</w:t>
        <w:br w:type="textWrapping"/>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www.education.vic.gov.au/about/deptpolicies/acceptableuse.htm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for Kindergartens: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www.kindergarten.vic.gov.au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for Economic Co-operation and Development (OECD) (2002)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Guidelines for the Security of Information Systems and Networks: Towards a Culture of Security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www.oecd.org</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F">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7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7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Governance and Management of the Service Policy</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78">
      <w:pPr>
        <w:pStyle w:val="Heading1"/>
        <w:rPr/>
      </w:pPr>
      <w:r w:rsidDel="00000000" w:rsidR="00000000" w:rsidRPr="00000000">
        <w:rPr>
          <w:rtl w:val="0"/>
        </w:rPr>
        <w:t xml:space="preserve">Procedures</w:t>
      </w:r>
    </w:p>
    <w:p w:rsidR="00000000" w:rsidDel="00000000" w:rsidP="00000000" w:rsidRDefault="00000000" w:rsidRPr="00000000" w14:paraId="00000079">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use of the service’s ICT complies with all relevant state and federal legislation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and standards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service policies (including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suitable ICT facilities to enable educators and staff to effectively manage and operate the service</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authorising the access of educators, staff, volunteers and students to the service’s ICT facilities, as appropriate</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clear procedures and protocols that outline the parameters for use of the service’s ICT facilities (refer to Attachment 1 – Procedures for use of ICT at the service)</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embedding a culture of awareness and understanding of security issues at the service (refer to Attachment 2 – Guiding principles for security of information systems)</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effective financial procedures and security measures are implemented where transactions are made using the service’s ICT facilities, e.g. handling fee and invoice payments, and using online banking</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service’s computer software and hardware are purchased from an appropriate and reputable supplier</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need for additional password-protected email accounts for management, educators, staff and others at the service, and providing these as appropriate</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the training needs of educators and staff in relation to ICT, and providing recommendations for the inclusion of training in ICT in professional development activities</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procedures are in place for the regular backup of critical data and information at the service</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secure storage of all information at the service, including backup files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accessing information on the service’s computer/s, including emails</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encryption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data for extra security</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reputable anti-virus and firewall software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installed on service computers, and that software is kept up to date</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minimise unauthorised access, use and disclosure of information and data, which may include limiting access and passwords, and encryption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service’s liability in the event of security breaches, or unauthorised access, use and disclosure of information and data is limited by developing and publishing appropriate disclaimers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ensure data and information (e.g. passwords) are kept secure, and only disclosed to individuals where necessary e.g. to new educators, staff or committee of management</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ensure that all educators, staff, volunteers and students are aware of the requirements of this policy</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appropriate use of endpoint data storage devices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all ICT users at the service</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material stored on endpoint data storage devices is also stored on a backup drive, and that both device and drive are kept in a secure location</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compliance with this policy by all users of the service’s ICT facilities</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written permission is provided by parents/guardians for authorised access to the service’s computer systems and internet by persons under 18 years of age (e.g. a student on placement at the service) (refer to Attachment 3 – Parent/guardian authorisation for under-age access to the Buninyong Primary School Outside of School Hours Care ICT facilities).</w:t>
      </w:r>
      <w:r w:rsidDel="00000000" w:rsidR="00000000" w:rsidRPr="00000000">
        <w:rPr>
          <w:rtl w:val="0"/>
        </w:rPr>
      </w:r>
    </w:p>
    <w:p w:rsidR="00000000" w:rsidDel="00000000" w:rsidP="00000000" w:rsidRDefault="00000000" w:rsidRPr="00000000" w14:paraId="00000090">
      <w:pPr>
        <w:pStyle w:val="Heading4"/>
        <w:spacing w:before="170" w:lineRule="auto"/>
        <w:rPr/>
      </w:pPr>
      <w:r w:rsidDel="00000000" w:rsidR="00000000" w:rsidRPr="00000000">
        <w:rPr>
          <w:rtl w:val="0"/>
        </w:rPr>
        <w:t xml:space="preserve">The Nominated Supervisor, Certified Supervisors, educators, staff and other authorised users of the service’s ICT facilities are responsible for:</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relevant legislation and service policies, protocols and procedures, including those outlined in Attachments 1 and 2</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the authorised user agreement form (see Attachment 4)</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allocated passwords secure, including not sharing passwords and logging off after using a computer</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security of ICT facilities belonging to Buninyong Primary School Outside of School Hours Care</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accessing accounts, data or files on the service’s computers only where authorisation has been provided</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other users of the service’s ICT to ensure fair and equitable access to resources</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approval from the Approved Provider before purchasing licensed computer software and hardware</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confidential information is transmitted with password protection or encryption, as required</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no illegal material is transmitted at any time via any ICT medium</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service’s email, messaging and social media facilities for service-related and lawful activities only</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endpoint data storage devices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supplied by the service for service-related business only, and ensuring that this information is protected from unauthorised access and use</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material stored on an endpoint data storage device is also stored on a backup drive, and that both device and drive are kept in a secure location</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of any damage, faults or loss of endpoint data storage devices</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signing an acknowledgement form upon receipt of a USB or portable storage device (including a laptop) (refer to Attachment 4 – Authorised user agreement)</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restricting the use of personal mobile phones to rostered breaks</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only to emergency phone calls when responsible for supervising children to ensure adequate supervision of children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electronic files containing information about children and families are kept secure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2">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understanding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and Communication Technology (ICT) Policy</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state and federal laws,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service policies and procedures</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privacy of any personal or health information provided to them about other individuals e.g. contact details.</w:t>
      </w:r>
      <w:r w:rsidDel="00000000" w:rsidR="00000000" w:rsidRPr="00000000">
        <w:rPr>
          <w:rtl w:val="0"/>
        </w:rPr>
      </w:r>
    </w:p>
    <w:p w:rsidR="00000000" w:rsidDel="00000000" w:rsidP="00000000" w:rsidRDefault="00000000" w:rsidRPr="00000000" w14:paraId="000000A6">
      <w:pPr>
        <w:pStyle w:val="Heading4"/>
        <w:keepNext w:val="0"/>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A7">
      <w:pPr>
        <w:pStyle w:val="Heading1"/>
        <w:rPr/>
      </w:pPr>
      <w:r w:rsidDel="00000000" w:rsidR="00000000" w:rsidRPr="00000000">
        <w:rPr>
          <w:rtl w:val="0"/>
        </w:rPr>
        <w:t xml:space="preserve">Evaluation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AE">
      <w:pPr>
        <w:pStyle w:val="Heading1"/>
        <w:rPr/>
      </w:pPr>
      <w:r w:rsidDel="00000000" w:rsidR="00000000" w:rsidRPr="00000000">
        <w:rPr>
          <w:rtl w:val="0"/>
        </w:rPr>
        <w:t xml:space="preserve">Attachments</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for use of ICT at the service</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Guiding principles for security of information systems</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3: Parent/guardian authorisation for under-age access to the Buninyong Primary School Outside of School Hours Care ICT facilities</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user agreement</w:t>
      </w:r>
    </w:p>
    <w:p w:rsidR="00000000" w:rsidDel="00000000" w:rsidP="00000000" w:rsidRDefault="00000000" w:rsidRPr="00000000" w14:paraId="000000B3">
      <w:pPr>
        <w:pStyle w:val="Heading1"/>
        <w:rPr/>
      </w:pPr>
      <w:r w:rsidDel="00000000" w:rsidR="00000000" w:rsidRPr="00000000">
        <w:rPr>
          <w:rtl w:val="0"/>
        </w:rPr>
        <w:t xml:space="preserve">Authorisation</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Primary School Outside of School Hours Care on 20-5-2019</w:t>
      </w:r>
    </w:p>
    <w:p w:rsidR="00000000" w:rsidDel="00000000" w:rsidP="00000000" w:rsidRDefault="00000000" w:rsidRPr="00000000" w14:paraId="000000B5">
      <w:pPr>
        <w:pStyle w:val="Heading1"/>
        <w:rPr/>
      </w:pPr>
      <w:r w:rsidDel="00000000" w:rsidR="00000000" w:rsidRPr="00000000">
        <w:rPr>
          <w:rtl w:val="0"/>
        </w:rPr>
        <w:t xml:space="preserve">Review date:  May 2022</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use of ICT at the service</w:t>
      </w:r>
    </w:p>
    <w:p w:rsidR="00000000" w:rsidDel="00000000" w:rsidP="00000000" w:rsidRDefault="00000000" w:rsidRPr="00000000" w14:paraId="000000B8">
      <w:pPr>
        <w:pStyle w:val="Heading3"/>
        <w:rPr/>
      </w:pPr>
      <w:r w:rsidDel="00000000" w:rsidR="00000000" w:rsidRPr="00000000">
        <w:rPr>
          <w:rtl w:val="0"/>
        </w:rPr>
        <w:t xml:space="preserve">Email usage</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Content of emails and email addresses must always be checked before sending.</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sending emails to multiple recipients, care should be taken to avoid the inappropriate disclosure of email addresses to a whole group of recipients; blind copying (BCC) should be used where appropriate.</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include a subject description in the subject line.</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include a disclaimer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is common to all users, on emails to limit liability.</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cautious about opening files or launching programs that have been received as an attachment via email from the email itself. Instead, save an attachment to disk and scan with anti-virus software before opening, and keep an eye out for unusual filenames.</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Never open emails if unsure of the sender.</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email accounts on a regular basis and forward relevant emails to the Approved Provider or appropriate committee members/staff.</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correspondence that is no longer required from the computer quarterly.</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 to emails as soon as is practicable.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3"/>
        <w:rPr/>
      </w:pPr>
      <w:r w:rsidDel="00000000" w:rsidR="00000000" w:rsidRPr="00000000">
        <w:rPr>
          <w:rtl w:val="0"/>
        </w:rPr>
        <w:t xml:space="preserve">Unacceptable/inappropriate use of ICT facilities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of the ICT facilities (and in particular, the internet, email and social media) provided by  Delacombe  Primary School Outside of School Hours Care must not:</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or exchange messages that are offensive, harassing, obscene or threatening</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copy, transmit or retransmit chain emails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other unauthorised mass communication</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ICT facilities as a platform to gain unauthorised access to other systems</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 out activities that are illegal, inappropriate or offensive to fellow employees or the public. Such activities include, but are not limited to, hate speech or material that ridicules/discriminates against others on the basis of race, nationality, creed, religion, ability/disability, gender or sexual orientation</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ICT facilities to access, download, create, store or distribute illegal, offensive, obscene or objectionable material (including pornography and sexually explicit material). It will not be a defence to claim that the recipient was a consenting adult</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ICT facilities to make any personal communication that could suggest that such communication was made in that person’s official capacity as an employee or volunteer of </w:t>
        <w:br w:type="textWrapping"/>
        <w:t xml:space="preserve"> Delacombe  Primary School Outside of School Hours Care</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any outside business or engage in activities related to employment with another organisation</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 games</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 any election campaign or lobby any government organisation</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exchange any confidential or sensitive information held by  Delacombe  Primary School Outside of School Hours Care unless authorised as part of their duties</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 the service’s email address on a ‘private’ business card</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harass, slander, intimidate, embarrass, defame, vilify, seek to offend or make threats against another person or group of people</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breach copyright laws through making copies of, or transmitting, material or commercial software.</w:t>
      </w:r>
    </w:p>
    <w:p w:rsidR="00000000" w:rsidDel="00000000" w:rsidP="00000000" w:rsidRDefault="00000000" w:rsidRPr="00000000" w14:paraId="000000D2">
      <w:pPr>
        <w:pStyle w:val="Heading3"/>
        <w:rPr/>
      </w:pPr>
      <w:r w:rsidDel="00000000" w:rsidR="00000000" w:rsidRPr="00000000">
        <w:rPr>
          <w:rtl w:val="0"/>
        </w:rPr>
        <w:t xml:space="preserve">Information stored on computers</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records containing personal, sensitive and/or health information, or photographs of children must be stored securely so that privacy and confidentiality is maintained. This information must not be removed from the service without authorisation, as security of the information could be at risk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records containing personal, sensitive and/or health information, or photographs of children may need to be removed from the service from time-to-time for various reasons, including for:</w:t>
      </w:r>
    </w:p>
    <w:p w:rsidR="00000000" w:rsidDel="00000000" w:rsidP="00000000" w:rsidRDefault="00000000" w:rsidRPr="00000000" w14:paraId="000000D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excursions and service events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offsite storage, where there is not enough space at the service premises to store the records.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such circumstances, services must ensure that the information is transported, handled and stored securely so that privacy and confidentiality is maintained at all times.</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users are not to view or interfere with other users’ files or directories, knowingly obtain unauthorised access to information or damage, delete, insert or otherwise alter data without permission.</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all material stored on an endpoint data storage device is also stored on a backup drive, and that both device and drive are kept in a secure location.</w:t>
      </w:r>
    </w:p>
    <w:p w:rsidR="00000000" w:rsidDel="00000000" w:rsidP="00000000" w:rsidRDefault="00000000" w:rsidRPr="00000000" w14:paraId="000000DA">
      <w:pPr>
        <w:pStyle w:val="Heading3"/>
        <w:rPr/>
      </w:pPr>
      <w:r w:rsidDel="00000000" w:rsidR="00000000" w:rsidRPr="00000000">
        <w:rPr>
          <w:rtl w:val="0"/>
        </w:rPr>
        <w:t xml:space="preserve">Breaches of this policy</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may block access to internet sites where inappropriate use is identified.</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who fail to adhere to this policy may be liable to counselling, disciplinary action or dismissal.</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educators, staff, volunteers and students who fail to adhere to this policy may have their access to the service’s ICT facilities restricted/denied.</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Guiding principles for security of information systems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Organisation for Economic Co-operation and Development’s (OECD) guidelines encourage an awareness and understanding of security issues and the need for a culture of security.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OECD describes nine guiding principles that encourage awareness, education, information sharing and training as effective strategies in maintaining security of information systems. The guiding principles are explained in the table below.</w:t>
      </w:r>
    </w:p>
    <w:tbl>
      <w:tblPr>
        <w:tblStyle w:val="Table1"/>
        <w:tblW w:w="906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6804"/>
        <w:tblGridChange w:id="0">
          <w:tblGrid>
            <w:gridCol w:w="2263"/>
            <w:gridCol w:w="6804"/>
          </w:tblGrid>
        </w:tblGridChange>
      </w:tblGrid>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Awareness</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be aware of the need for security of information systems </w:t>
              <w:br w:type="textWrapping"/>
              <w:t xml:space="preserve">and networks and what they can do to enhance security.</w:t>
            </w:r>
          </w:p>
        </w:tc>
      </w:tr>
      <w:t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Responsibility</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users are responsible for the security of information systems and networks.</w:t>
            </w:r>
          </w:p>
        </w:tc>
      </w:tr>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act in a timely and cooperative manner to prevent, detect </w:t>
              <w:br w:type="textWrapping"/>
              <w:t xml:space="preserve">and respond to security issues.</w:t>
            </w:r>
          </w:p>
        </w:tc>
      </w:tr>
      <w:t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Ethics</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respect the legitimate interest of others.</w:t>
            </w:r>
          </w:p>
        </w:tc>
      </w:tr>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Democracy</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security of information systems and networks should be compatible </w:t>
              <w:br w:type="textWrapping"/>
              <w:t xml:space="preserve">with the essential values of a democratic society.</w:t>
            </w:r>
          </w:p>
        </w:tc>
      </w:tr>
      <w:tr>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assessment</w:t>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conduct risk assessments.</w:t>
            </w:r>
          </w:p>
        </w:tc>
      </w:tr>
      <w:tr>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design and implementation</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incorporate security as an essential element of information systems and networks.</w:t>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management</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adopt a comprehensive approach to security management.</w:t>
            </w:r>
          </w:p>
        </w:tc>
      </w:tr>
      <w:t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Reassessment</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Users should review and reassess the security of information systems </w:t>
              <w:br w:type="textWrapping"/>
              <w:t xml:space="preserve">and networks, and make appropriate modifications to security policies, measures and procedures.</w:t>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70" w:before="24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Sourced from Organisation for Economic Co-operation and Development’s (OECD) (2002)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Guidelines for the Security of Information Systems and Networks: Towards a Culture of Security.</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3</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Parent/guardian authorisation for under-age access to the </w:t>
        <w:br w:type="textWrapping"/>
        <w:t xml:space="preserve">Delacombe Primary School Outside of School Hours Care ICT facilities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8222"/>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name:</w:t>
        <w:tab/>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placement:</w:t>
        <w:tab/>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 am a parent/guardian of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8222"/>
        </w:tabs>
        <w:spacing w:after="17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read the  Delacombe Primary School Outside of School Hours Care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and Communication Technology (ICT)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br w:type="textWrapping"/>
        <w:t xml:space="preserve">agree to the conditions of use of the service’s ICT facilities for the above-named student.</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also understand that  Delacombe  Primary School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no censorship of access to ICT facilities.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1"/>
      <w:bookmarkEnd w:id="1"/>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22"/>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(student)</w:t>
        <w:tab/>
        <w:t xml:space="preserve">Date</w:t>
        <w:tab/>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03"/>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(parent/guardian)</w:t>
        <w:tab/>
        <w:t xml:space="preserve">Date</w:t>
        <w:tab/>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4</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Authorised user agreement</w:t>
      </w:r>
    </w:p>
    <w:p w:rsidR="00000000" w:rsidDel="00000000" w:rsidP="00000000" w:rsidRDefault="00000000" w:rsidRPr="00000000" w14:paraId="00000108">
      <w:pPr>
        <w:pStyle w:val="Heading4"/>
        <w:rPr/>
      </w:pPr>
      <w:r w:rsidDel="00000000" w:rsidR="00000000" w:rsidRPr="00000000">
        <w:rPr>
          <w:rtl w:val="0"/>
        </w:rPr>
        <w:t xml:space="preserve">Portable storage device (PSD) (including laptops)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tab/>
        <w:t xml:space="preserve">,</w:t>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acknowledge that I have received a PSD belonging to  Delacombe  Primary School Outside of School Hours Care</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ensure that the PSD:</w:t>
      </w:r>
    </w:p>
    <w:p w:rsidR="00000000" w:rsidDel="00000000" w:rsidP="00000000" w:rsidRDefault="00000000" w:rsidRPr="00000000" w14:paraId="000001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used for work-related purposes only</w:t>
      </w:r>
    </w:p>
    <w:p w:rsidR="00000000" w:rsidDel="00000000" w:rsidP="00000000" w:rsidRDefault="00000000" w:rsidRPr="00000000" w14:paraId="000001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password-protected at all times</w:t>
      </w:r>
    </w:p>
    <w:p w:rsidR="00000000" w:rsidDel="00000000" w:rsidP="00000000" w:rsidRDefault="00000000" w:rsidRPr="00000000" w14:paraId="000001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not be loaned to unauthorised persons</w:t>
      </w:r>
    </w:p>
    <w:p w:rsidR="00000000" w:rsidDel="00000000" w:rsidP="00000000" w:rsidRDefault="00000000" w:rsidRPr="00000000" w14:paraId="000001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returned to Buninyong Primary School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cessation of employment</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notify  Delacombe  Primary School Outside of School Hours Care as soon as is practicable </w:t>
        <w:br w:type="textWrapping"/>
        <w:t xml:space="preserve">if the PSD is damaged, faulty or lost</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read the </w:t>
      </w:r>
      <w:bookmarkStart w:colFirst="0" w:colLast="0" w:name="bookmark=id.30j0zll" w:id="2"/>
      <w:bookmarkEnd w:id="2"/>
      <w:bookmarkStart w:colFirst="0" w:colLast="0" w:name="bookmark=id.1fob9te"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Primary School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and Communication (ICT) Technology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agree to abide by the procedures outlined within.</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22"/>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(authorised user)</w:t>
        <w:tab/>
        <w:t xml:space="preserve">Position</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tab/>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 w:val="left" w:pos="8222"/>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4578"/>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by </w:t>
        <w:tab/>
        <w:t xml:space="preserve">Position</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sectPr>
      <w:footerReference r:id="rId15"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70.0" w:type="dxa"/>
      <w:jc w:val="left"/>
      <w:tblInd w:w="0.0" w:type="pct"/>
      <w:tblBorders>
        <w:top w:color="000000" w:space="0" w:sz="4" w:val="single"/>
      </w:tblBorders>
      <w:tblLayout w:type="fixed"/>
      <w:tblLook w:val="0400"/>
    </w:tblPr>
    <w:tblGrid>
      <w:gridCol w:w="4531"/>
      <w:gridCol w:w="4539"/>
      <w:tblGridChange w:id="0">
        <w:tblGrid>
          <w:gridCol w:w="4531"/>
          <w:gridCol w:w="4539"/>
        </w:tblGrid>
      </w:tblGridChange>
    </w:tblGrid>
    <w:tr>
      <w:tc>
        <w:tcPr>
          <w:shd w:fill="auto" w:val="cle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3E383A"/>
    <w:pPr>
      <w:spacing w:after="170"/>
    </w:pPr>
    <w:rPr>
      <w:rFonts w:eastAsia="Calibri"/>
      <w:sz w:val="19"/>
      <w:szCs w:val="19"/>
      <w:lang w:eastAsia="en-US"/>
    </w:rPr>
  </w:style>
  <w:style w:type="paragraph" w:styleId="Heading1">
    <w:name w:val="heading 1"/>
    <w:next w:val="BodyText"/>
    <w:link w:val="Heading1Char"/>
    <w:qFormat w:val="1"/>
    <w:rsid w:val="003E383A"/>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3E383A"/>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3E383A"/>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3E383A"/>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3E383A"/>
    <w:rPr>
      <w:rFonts w:cs="Arial" w:eastAsia="Times New Roman"/>
      <w:b w:val="1"/>
      <w:bCs w:val="1"/>
      <w:caps w:val="1"/>
      <w:color w:val="000000"/>
      <w:sz w:val="24"/>
      <w:szCs w:val="24"/>
    </w:rPr>
  </w:style>
  <w:style w:type="paragraph" w:styleId="Title">
    <w:name w:val="Title"/>
    <w:next w:val="Normal"/>
    <w:link w:val="TitleChar"/>
    <w:uiPriority w:val="1"/>
    <w:qFormat w:val="1"/>
    <w:rsid w:val="003E383A"/>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3E383A"/>
    <w:rPr>
      <w:rFonts w:cs="Arial" w:eastAsia="Times New Roman"/>
      <w:b w:val="1"/>
      <w:bCs w:val="1"/>
      <w:caps w:val="1"/>
      <w:color w:val="000000"/>
      <w:sz w:val="28"/>
      <w:szCs w:val="28"/>
      <w:lang w:eastAsia="en-US"/>
    </w:rPr>
  </w:style>
  <w:style w:type="paragraph" w:styleId="Bullets2" w:customStyle="1">
    <w:name w:val="Bullets 2"/>
    <w:qFormat w:val="1"/>
    <w:rsid w:val="003E383A"/>
    <w:pPr>
      <w:numPr>
        <w:ilvl w:val="1"/>
        <w:numId w:val="30"/>
      </w:numPr>
      <w:spacing w:after="60" w:line="260" w:lineRule="atLeast"/>
    </w:pPr>
    <w:rPr>
      <w:rFonts w:eastAsia="Calibri"/>
      <w:szCs w:val="19"/>
    </w:rPr>
  </w:style>
  <w:style w:type="paragraph" w:styleId="Attachment1" w:customStyle="1">
    <w:name w:val="Attachment 1"/>
    <w:next w:val="Attachment2"/>
    <w:qFormat w:val="1"/>
    <w:rsid w:val="003E383A"/>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3E383A"/>
    <w:pPr>
      <w:spacing w:after="170" w:before="60" w:line="260" w:lineRule="atLeast"/>
    </w:pPr>
    <w:rPr>
      <w:rFonts w:eastAsia="Calibri"/>
      <w:szCs w:val="19"/>
    </w:rPr>
  </w:style>
  <w:style w:type="character" w:styleId="BodyTextChar" w:customStyle="1">
    <w:name w:val="Body Text Char"/>
    <w:link w:val="BodyText"/>
    <w:rsid w:val="003E383A"/>
    <w:rPr>
      <w:rFonts w:eastAsia="Calibri"/>
      <w:szCs w:val="19"/>
    </w:rPr>
  </w:style>
  <w:style w:type="character" w:styleId="Heading2Char" w:customStyle="1">
    <w:name w:val="Heading 2 Char"/>
    <w:link w:val="Heading2"/>
    <w:rsid w:val="003E383A"/>
    <w:rPr>
      <w:rFonts w:cs="Arial" w:eastAsia="Times New Roman"/>
      <w:b w:val="1"/>
      <w:bCs w:val="1"/>
      <w:caps w:val="1"/>
      <w:color w:val="000000"/>
      <w:sz w:val="22"/>
      <w:szCs w:val="22"/>
    </w:rPr>
  </w:style>
  <w:style w:type="character" w:styleId="Heading3Char" w:customStyle="1">
    <w:name w:val="Heading 3 Char"/>
    <w:link w:val="Heading3"/>
    <w:rsid w:val="003E383A"/>
    <w:rPr>
      <w:rFonts w:cs="Arial" w:eastAsia="Times New Roman"/>
      <w:b w:val="1"/>
      <w:bCs w:val="1"/>
      <w:caps w:val="1"/>
      <w:color w:val="000000"/>
    </w:rPr>
  </w:style>
  <w:style w:type="character" w:styleId="Heading4Char" w:customStyle="1">
    <w:name w:val="Heading 4 Char"/>
    <w:link w:val="Heading4"/>
    <w:rsid w:val="003E383A"/>
    <w:rPr>
      <w:rFonts w:cs="Arial" w:eastAsia="Times New Roman"/>
      <w:b w:val="1"/>
      <w:bCs w:val="1"/>
      <w:color w:val="000000"/>
      <w:szCs w:val="19"/>
    </w:rPr>
  </w:style>
  <w:style w:type="numbering" w:styleId="Bullets" w:customStyle="1">
    <w:name w:val="Bullets"/>
    <w:uiPriority w:val="99"/>
    <w:locked w:val="1"/>
    <w:rsid w:val="003E383A"/>
    <w:pPr>
      <w:numPr>
        <w:numId w:val="1"/>
      </w:numPr>
    </w:pPr>
  </w:style>
  <w:style w:type="paragraph" w:styleId="Bullets1" w:customStyle="1">
    <w:name w:val="Bullets 1"/>
    <w:qFormat w:val="1"/>
    <w:rsid w:val="003E383A"/>
    <w:pPr>
      <w:numPr>
        <w:numId w:val="30"/>
      </w:numPr>
      <w:spacing w:after="60" w:line="260" w:lineRule="atLeast"/>
    </w:pPr>
    <w:rPr>
      <w:rFonts w:eastAsia="Calibri"/>
      <w:szCs w:val="19"/>
    </w:rPr>
  </w:style>
  <w:style w:type="paragraph" w:styleId="Header">
    <w:name w:val="header"/>
    <w:basedOn w:val="Normal"/>
    <w:link w:val="HeaderChar"/>
    <w:uiPriority w:val="99"/>
    <w:unhideWhenUsed w:val="1"/>
    <w:rsid w:val="003E383A"/>
    <w:pPr>
      <w:tabs>
        <w:tab w:val="center" w:pos="4513"/>
        <w:tab w:val="right" w:pos="9026"/>
      </w:tabs>
      <w:spacing w:after="0"/>
    </w:pPr>
  </w:style>
  <w:style w:type="character" w:styleId="HeaderChar" w:customStyle="1">
    <w:name w:val="Header Char"/>
    <w:link w:val="Header"/>
    <w:uiPriority w:val="99"/>
    <w:rsid w:val="003E383A"/>
    <w:rPr>
      <w:rFonts w:eastAsia="Calibri"/>
      <w:sz w:val="19"/>
      <w:szCs w:val="19"/>
      <w:lang w:eastAsia="en-US"/>
    </w:rPr>
  </w:style>
  <w:style w:type="paragraph" w:styleId="Footer">
    <w:name w:val="footer"/>
    <w:basedOn w:val="Normal"/>
    <w:link w:val="FooterChar"/>
    <w:uiPriority w:val="99"/>
    <w:unhideWhenUsed w:val="1"/>
    <w:rsid w:val="003E383A"/>
    <w:pPr>
      <w:tabs>
        <w:tab w:val="center" w:pos="4513"/>
        <w:tab w:val="right" w:pos="9026"/>
      </w:tabs>
      <w:spacing w:after="0"/>
    </w:pPr>
    <w:rPr>
      <w:rFonts w:cs="Arial"/>
      <w:sz w:val="16"/>
      <w:szCs w:val="16"/>
    </w:rPr>
  </w:style>
  <w:style w:type="character" w:styleId="FooterChar" w:customStyle="1">
    <w:name w:val="Footer Char"/>
    <w:link w:val="Footer"/>
    <w:uiPriority w:val="99"/>
    <w:rsid w:val="003E383A"/>
    <w:rPr>
      <w:rFonts w:cs="Arial" w:eastAsia="Calibri"/>
      <w:sz w:val="16"/>
      <w:szCs w:val="16"/>
      <w:lang w:eastAsia="en-US"/>
    </w:rPr>
  </w:style>
  <w:style w:type="table" w:styleId="TableGrid">
    <w:name w:val="Table Grid"/>
    <w:basedOn w:val="TableNormal"/>
    <w:uiPriority w:val="59"/>
    <w:locked w:val="1"/>
    <w:rsid w:val="003E383A"/>
    <w:rPr>
      <w:rFonts w:eastAsia="Calibri"/>
      <w:sz w:val="19"/>
      <w:szCs w:val="19"/>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3E383A"/>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3E383A"/>
    <w:pPr>
      <w:spacing w:after="720"/>
    </w:pPr>
    <w:rPr>
      <w:rFonts w:cs="Arial" w:eastAsia="Times New Roman"/>
      <w:b w:val="1"/>
      <w:bCs w:val="1"/>
      <w:color w:val="000000"/>
      <w:sz w:val="24"/>
      <w:szCs w:val="24"/>
      <w:lang w:eastAsia="en-US"/>
    </w:rPr>
  </w:style>
  <w:style w:type="paragraph" w:styleId="Bullets3" w:customStyle="1">
    <w:name w:val="Bullets 3"/>
    <w:qFormat w:val="1"/>
    <w:rsid w:val="003E383A"/>
    <w:pPr>
      <w:numPr>
        <w:ilvl w:val="2"/>
        <w:numId w:val="30"/>
      </w:numPr>
      <w:spacing w:after="60" w:line="260" w:lineRule="atLeast"/>
    </w:pPr>
    <w:rPr>
      <w:rFonts w:eastAsia="Calibri"/>
      <w:szCs w:val="19"/>
    </w:rPr>
  </w:style>
  <w:style w:type="paragraph" w:styleId="BodyText3ptAfter" w:customStyle="1">
    <w:name w:val="Body Text 3pt After"/>
    <w:basedOn w:val="BodyText"/>
    <w:qFormat w:val="1"/>
    <w:rsid w:val="003E383A"/>
    <w:pPr>
      <w:spacing w:after="60"/>
    </w:pPr>
  </w:style>
  <w:style w:type="paragraph" w:styleId="BalloonText">
    <w:name w:val="Balloon Text"/>
    <w:basedOn w:val="Normal"/>
    <w:link w:val="BalloonTextChar"/>
    <w:uiPriority w:val="99"/>
    <w:semiHidden w:val="1"/>
    <w:unhideWhenUsed w:val="1"/>
    <w:rsid w:val="003E383A"/>
    <w:pPr>
      <w:spacing w:after="0"/>
    </w:pPr>
    <w:rPr>
      <w:rFonts w:ascii="Tahoma" w:cs="Tahoma" w:hAnsi="Tahoma"/>
      <w:sz w:val="16"/>
      <w:szCs w:val="16"/>
    </w:rPr>
  </w:style>
  <w:style w:type="character" w:styleId="BalloonTextChar" w:customStyle="1">
    <w:name w:val="Balloon Text Char"/>
    <w:link w:val="BalloonText"/>
    <w:uiPriority w:val="99"/>
    <w:semiHidden w:val="1"/>
    <w:rsid w:val="003E383A"/>
    <w:rPr>
      <w:rFonts w:ascii="Tahoma" w:cs="Tahoma" w:eastAsia="Calibri" w:hAnsi="Tahoma"/>
      <w:sz w:val="16"/>
      <w:szCs w:val="16"/>
      <w:lang w:eastAsia="en-US"/>
    </w:rPr>
  </w:style>
  <w:style w:type="character" w:styleId="Hyperlink">
    <w:name w:val="Hyperlink"/>
    <w:uiPriority w:val="99"/>
    <w:unhideWhenUsed w:val="1"/>
    <w:rsid w:val="003E383A"/>
    <w:rPr>
      <w:color w:val="0000ff"/>
      <w:u w:val="single"/>
    </w:rPr>
  </w:style>
  <w:style w:type="paragraph" w:styleId="FootnoteText">
    <w:name w:val="footnote text"/>
    <w:basedOn w:val="Normal"/>
    <w:link w:val="FootnoteTextChar"/>
    <w:uiPriority w:val="99"/>
    <w:unhideWhenUsed w:val="1"/>
    <w:rsid w:val="003E383A"/>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3E383A"/>
    <w:rPr>
      <w:rFonts w:eastAsia="Times New Roman"/>
      <w:snapToGrid w:val="0"/>
      <w:lang w:eastAsia="en-US"/>
    </w:rPr>
  </w:style>
  <w:style w:type="character" w:styleId="FootnoteReference">
    <w:name w:val="footnote reference"/>
    <w:uiPriority w:val="99"/>
    <w:semiHidden w:val="1"/>
    <w:unhideWhenUsed w:val="1"/>
    <w:rsid w:val="003E383A"/>
    <w:rPr>
      <w:vertAlign w:val="superscript"/>
    </w:rPr>
  </w:style>
  <w:style w:type="paragraph" w:styleId="AttachmentNumberedHeading1" w:customStyle="1">
    <w:name w:val="Attachment Numbered Heading 1"/>
    <w:qFormat w:val="1"/>
    <w:rsid w:val="003E383A"/>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3E383A"/>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3E383A"/>
    <w:pPr>
      <w:numPr>
        <w:numId w:val="20"/>
      </w:numPr>
      <w:spacing w:after="40" w:before="40" w:line="260" w:lineRule="atLeast"/>
      <w:ind w:left="227" w:hanging="227"/>
    </w:pPr>
    <w:rPr>
      <w:rFonts w:cs="Tms Rmn" w:eastAsia="Times New Roman"/>
      <w:snapToGrid w:val="0"/>
      <w:sz w:val="20"/>
      <w:szCs w:val="20"/>
      <w:lang w:val="en-GB"/>
    </w:rPr>
  </w:style>
  <w:style w:type="paragraph" w:styleId="Tablecolumnhead" w:customStyle="1">
    <w:name w:val="Table column head"/>
    <w:basedOn w:val="Normal"/>
    <w:qFormat w:val="1"/>
    <w:rsid w:val="003E383A"/>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3E383A"/>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3E383A"/>
    <w:pPr>
      <w:spacing w:before="170"/>
    </w:pPr>
  </w:style>
  <w:style w:type="character" w:styleId="FollowedHyperlink">
    <w:name w:val="FollowedHyperlink"/>
    <w:uiPriority w:val="99"/>
    <w:semiHidden w:val="1"/>
    <w:unhideWhenUsed w:val="1"/>
    <w:rsid w:val="003E383A"/>
    <w:rPr>
      <w:color w:val="800080"/>
      <w:u w:val="single"/>
    </w:rPr>
  </w:style>
  <w:style w:type="paragraph" w:styleId="SignatureLine" w:customStyle="1">
    <w:name w:val="Signature Line"/>
    <w:basedOn w:val="BodyText"/>
    <w:qFormat w:val="1"/>
    <w:rsid w:val="003E383A"/>
    <w:pPr>
      <w:tabs>
        <w:tab w:val="right" w:leader="underscore" w:pos="4253"/>
        <w:tab w:val="left" w:pos="4522"/>
        <w:tab w:val="left" w:leader="underscore" w:pos="7796"/>
      </w:tabs>
      <w:spacing w:after="60" w:before="240"/>
    </w:pPr>
  </w:style>
  <w:style w:type="paragraph" w:styleId="SubHeading" w:customStyle="1">
    <w:name w:val="Sub Heading"/>
    <w:basedOn w:val="Normal"/>
    <w:rsid w:val="003E383A"/>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3E383A"/>
    <w:pPr>
      <w:numPr>
        <w:numId w:val="15"/>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3E383A"/>
    <w:pPr>
      <w:tabs>
        <w:tab w:val="left" w:pos="4536"/>
      </w:tabs>
    </w:pPr>
    <w:rPr>
      <w:rFonts w:eastAsia="Arial"/>
    </w:rPr>
  </w:style>
  <w:style w:type="paragraph" w:styleId="AlphaList" w:customStyle="1">
    <w:name w:val="Alpha List"/>
    <w:qFormat w:val="1"/>
    <w:rsid w:val="003E383A"/>
    <w:pPr>
      <w:numPr>
        <w:numId w:val="18"/>
      </w:numPr>
      <w:spacing w:after="60" w:line="260" w:lineRule="atLeast"/>
    </w:pPr>
    <w:rPr>
      <w:rFonts w:eastAsia="Calibri"/>
      <w:szCs w:val="19"/>
    </w:rPr>
  </w:style>
  <w:style w:type="paragraph" w:styleId="AlphaList2" w:customStyle="1">
    <w:name w:val="Alpha List 2"/>
    <w:qFormat w:val="1"/>
    <w:rsid w:val="003E383A"/>
    <w:pPr>
      <w:numPr>
        <w:ilvl w:val="1"/>
        <w:numId w:val="18"/>
      </w:numPr>
      <w:spacing w:after="60" w:line="260" w:lineRule="atLeast"/>
    </w:pPr>
    <w:rPr>
      <w:rFonts w:eastAsia="Calibri"/>
      <w:szCs w:val="19"/>
    </w:rPr>
  </w:style>
  <w:style w:type="paragraph" w:styleId="Tablebullets2" w:customStyle="1">
    <w:name w:val="Table bullets 2"/>
    <w:qFormat w:val="1"/>
    <w:rsid w:val="003E383A"/>
    <w:pPr>
      <w:numPr>
        <w:numId w:val="19"/>
      </w:numPr>
      <w:spacing w:after="40" w:before="40" w:line="260" w:lineRule="atLeast"/>
      <w:ind w:left="454" w:hanging="227"/>
    </w:pPr>
    <w:rPr>
      <w:rFonts w:cs="Tms Rmn" w:eastAsia="Times New Roman"/>
      <w:snapToGrid w:val="0"/>
      <w:lang w:eastAsia="en-US" w:val="en-GB"/>
    </w:rPr>
  </w:style>
  <w:style w:type="character" w:styleId="CommentReference">
    <w:name w:val="annotation reference"/>
    <w:uiPriority w:val="99"/>
    <w:semiHidden w:val="1"/>
    <w:unhideWhenUsed w:val="1"/>
    <w:rsid w:val="001C3A3D"/>
    <w:rPr>
      <w:sz w:val="16"/>
      <w:szCs w:val="16"/>
    </w:rPr>
  </w:style>
  <w:style w:type="paragraph" w:styleId="CommentText">
    <w:name w:val="annotation text"/>
    <w:basedOn w:val="Normal"/>
    <w:link w:val="CommentTextChar"/>
    <w:uiPriority w:val="99"/>
    <w:semiHidden w:val="1"/>
    <w:unhideWhenUsed w:val="1"/>
    <w:rsid w:val="001C3A3D"/>
    <w:rPr>
      <w:sz w:val="20"/>
      <w:szCs w:val="20"/>
    </w:rPr>
  </w:style>
  <w:style w:type="character" w:styleId="CommentTextChar" w:customStyle="1">
    <w:name w:val="Comment Text Char"/>
    <w:link w:val="CommentText"/>
    <w:uiPriority w:val="99"/>
    <w:semiHidden w:val="1"/>
    <w:rsid w:val="001C3A3D"/>
    <w:rPr>
      <w:rFonts w:eastAsia="Calibri"/>
      <w:lang w:eastAsia="en-US"/>
    </w:rPr>
  </w:style>
  <w:style w:type="paragraph" w:styleId="CommentSubject">
    <w:name w:val="annotation subject"/>
    <w:basedOn w:val="CommentText"/>
    <w:next w:val="CommentText"/>
    <w:link w:val="CommentSubjectChar"/>
    <w:uiPriority w:val="99"/>
    <w:semiHidden w:val="1"/>
    <w:unhideWhenUsed w:val="1"/>
    <w:rsid w:val="001C3A3D"/>
    <w:rPr>
      <w:b w:val="1"/>
      <w:bCs w:val="1"/>
    </w:rPr>
  </w:style>
  <w:style w:type="character" w:styleId="CommentSubjectChar" w:customStyle="1">
    <w:name w:val="Comment Subject Char"/>
    <w:link w:val="CommentSubject"/>
    <w:uiPriority w:val="99"/>
    <w:semiHidden w:val="1"/>
    <w:rsid w:val="001C3A3D"/>
    <w:rPr>
      <w:rFonts w:eastAsia="Calibri"/>
      <w:b w:val="1"/>
      <w:bCs w:val="1"/>
      <w:lang w:eastAsia="en-US"/>
    </w:rPr>
  </w:style>
  <w:style w:type="paragraph" w:styleId="ListParagraph">
    <w:name w:val="List Paragraph"/>
    <w:basedOn w:val="Normal"/>
    <w:uiPriority w:val="34"/>
    <w:qFormat w:val="1"/>
    <w:rsid w:val="00842EE8"/>
    <w:pPr>
      <w:spacing w:after="200" w:line="276" w:lineRule="auto"/>
      <w:ind w:left="720"/>
      <w:contextualSpacing w:val="1"/>
    </w:pPr>
    <w:rPr>
      <w:rFonts w:ascii="Corbel" w:hAnsi="Corbe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indergarten.vic.gov.au/" TargetMode="External"/><Relationship Id="rId10" Type="http://schemas.openxmlformats.org/officeDocument/2006/relationships/image" Target="media/image3.png"/><Relationship Id="rId13" Type="http://schemas.openxmlformats.org/officeDocument/2006/relationships/hyperlink" Target="http://www.kindergarten.vic.gov.au" TargetMode="External"/><Relationship Id="rId12" Type="http://schemas.openxmlformats.org/officeDocument/2006/relationships/hyperlink" Target="http://www.education.vic.gov.au/about/deptpolicies/acceptableuse.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yperlink" Target="http://www.oec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4rwt0LdUmZUhfzqHnrMjcbEmw==">AMUW2mWEsG4wD4k0guxusg3vnzJrzM3Xel5wsfCpc00PraU+QuMxMnVEh0k+r1BXRCG3+cehXdfI/1E4+tErggkC9Q1RWVGSd1JZ66I/cAS2Rm1LqHL2mSfHKsWqCcTzYdVqYpTn/4NrtXbp/gOgarEzK6AxiIfe3hRa047YBxbgMUU40CZZtfY=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2019-05-02T07:18:00Z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